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0A5" w:rsidRDefault="009850A5" w:rsidP="003F23FB">
      <w:pPr>
        <w:rPr>
          <w:color w:val="1F497D"/>
        </w:rPr>
      </w:pPr>
      <w:r>
        <w:rPr>
          <w:noProof/>
          <w:lang w:eastAsia="en-AU"/>
        </w:rPr>
        <w:drawing>
          <wp:inline distT="0" distB="0" distL="0" distR="0">
            <wp:extent cx="1635811" cy="2113908"/>
            <wp:effectExtent l="0" t="0" r="2540" b="1270"/>
            <wp:docPr id="1" name="Picture 1" descr="https://its-ss-uqresearchers.s3.amazonaws.com/photo/1049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ts-ss-uqresearchers.s3.amazonaws.com/photo/10496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55" r="10661"/>
                    <a:stretch/>
                  </pic:blipFill>
                  <pic:spPr bwMode="auto">
                    <a:xfrm>
                      <a:off x="0" y="0"/>
                      <a:ext cx="1635816" cy="211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50A5" w:rsidRDefault="009850A5" w:rsidP="003F23FB">
      <w:pPr>
        <w:rPr>
          <w:color w:val="1F497D"/>
        </w:rPr>
      </w:pPr>
    </w:p>
    <w:p w:rsidR="009850A5" w:rsidRDefault="009850A5" w:rsidP="003F23FB">
      <w:pPr>
        <w:rPr>
          <w:color w:val="1F497D"/>
        </w:rPr>
      </w:pPr>
    </w:p>
    <w:p w:rsidR="003F23FB" w:rsidRDefault="003F23FB" w:rsidP="003F23FB">
      <w:pPr>
        <w:rPr>
          <w:color w:val="1F497D"/>
        </w:rPr>
      </w:pPr>
      <w:r>
        <w:rPr>
          <w:color w:val="1F497D"/>
        </w:rPr>
        <w:t>Title:</w:t>
      </w:r>
    </w:p>
    <w:p w:rsidR="003F23FB" w:rsidRDefault="003F23FB" w:rsidP="003F23FB">
      <w:pPr>
        <w:rPr>
          <w:color w:val="1F497D"/>
        </w:rPr>
      </w:pPr>
    </w:p>
    <w:p w:rsidR="003F23FB" w:rsidRDefault="003F23FB" w:rsidP="003F23FB">
      <w:pPr>
        <w:rPr>
          <w:color w:val="1F497D"/>
        </w:rPr>
      </w:pPr>
      <w:r>
        <w:rPr>
          <w:color w:val="1F497D"/>
        </w:rPr>
        <w:t xml:space="preserve">A productised approach to translational research and industry engagement </w:t>
      </w:r>
    </w:p>
    <w:p w:rsidR="003F23FB" w:rsidRDefault="003F23FB" w:rsidP="003F23FB">
      <w:pPr>
        <w:rPr>
          <w:color w:val="1F497D"/>
        </w:rPr>
      </w:pPr>
    </w:p>
    <w:p w:rsidR="003F23FB" w:rsidRDefault="003F23FB" w:rsidP="003F23FB">
      <w:pPr>
        <w:rPr>
          <w:color w:val="1F497D"/>
        </w:rPr>
      </w:pPr>
    </w:p>
    <w:p w:rsidR="003F23FB" w:rsidRDefault="003F23FB" w:rsidP="003F23FB">
      <w:pPr>
        <w:rPr>
          <w:color w:val="1F497D"/>
        </w:rPr>
      </w:pPr>
      <w:r>
        <w:rPr>
          <w:color w:val="1F497D"/>
        </w:rPr>
        <w:t>Abstract:</w:t>
      </w:r>
    </w:p>
    <w:p w:rsidR="003F23FB" w:rsidRDefault="003F23FB" w:rsidP="003F23FB">
      <w:pPr>
        <w:rPr>
          <w:color w:val="1F497D"/>
        </w:rPr>
      </w:pPr>
    </w:p>
    <w:p w:rsidR="00856248" w:rsidRDefault="003F23FB" w:rsidP="003F23FB">
      <w:pPr>
        <w:rPr>
          <w:color w:val="1F497D"/>
        </w:rPr>
      </w:pPr>
      <w:r>
        <w:rPr>
          <w:color w:val="1F497D"/>
        </w:rPr>
        <w:t xml:space="preserve">Industry engagement and rapid translation of research results </w:t>
      </w:r>
      <w:r w:rsidR="00DE4779">
        <w:rPr>
          <w:color w:val="1F497D"/>
        </w:rPr>
        <w:t>to industrial applications are at the forefront of the national science agenda. This increased focus on translational research presents an opportunity for research groups to develop and test new engagement strategies</w:t>
      </w:r>
      <w:r w:rsidR="00465B3F">
        <w:rPr>
          <w:color w:val="1F497D"/>
        </w:rPr>
        <w:t>,</w:t>
      </w:r>
      <w:r w:rsidR="00DE4779">
        <w:rPr>
          <w:color w:val="1F497D"/>
        </w:rPr>
        <w:t xml:space="preserve"> ultimately allowing them to better position themselves in a very competitive research market. </w:t>
      </w:r>
    </w:p>
    <w:p w:rsidR="00856248" w:rsidRDefault="00856248" w:rsidP="003F23FB">
      <w:pPr>
        <w:rPr>
          <w:color w:val="1F497D"/>
        </w:rPr>
      </w:pPr>
    </w:p>
    <w:p w:rsidR="003F23FB" w:rsidRDefault="00856248" w:rsidP="003F23FB">
      <w:pPr>
        <w:rPr>
          <w:color w:val="1F497D"/>
        </w:rPr>
      </w:pPr>
      <w:r>
        <w:rPr>
          <w:color w:val="1F497D"/>
        </w:rPr>
        <w:t>A productised approach to industry engagement and translational research is one such strategy which has been successfully used by the UQ Composites group to build a very strong portfolio of new and exciting</w:t>
      </w:r>
      <w:r w:rsidR="00465B3F">
        <w:rPr>
          <w:color w:val="1F497D"/>
        </w:rPr>
        <w:t xml:space="preserve"> industry-</w:t>
      </w:r>
      <w:r>
        <w:rPr>
          <w:color w:val="1F497D"/>
        </w:rPr>
        <w:t xml:space="preserve">near projects over a very short period of time. </w:t>
      </w:r>
      <w:proofErr w:type="spellStart"/>
      <w:r w:rsidR="000266A3">
        <w:rPr>
          <w:color w:val="1F497D"/>
        </w:rPr>
        <w:t>Productisation</w:t>
      </w:r>
      <w:proofErr w:type="spellEnd"/>
      <w:r>
        <w:rPr>
          <w:color w:val="1F497D"/>
        </w:rPr>
        <w:t xml:space="preserve"> is not </w:t>
      </w:r>
      <w:r w:rsidR="000266A3">
        <w:rPr>
          <w:color w:val="1F497D"/>
        </w:rPr>
        <w:t>an</w:t>
      </w:r>
      <w:r>
        <w:rPr>
          <w:color w:val="1F497D"/>
        </w:rPr>
        <w:t xml:space="preserve"> </w:t>
      </w:r>
      <w:r w:rsidR="000266A3">
        <w:rPr>
          <w:color w:val="1F497D"/>
        </w:rPr>
        <w:t xml:space="preserve">entirely </w:t>
      </w:r>
      <w:r>
        <w:rPr>
          <w:color w:val="1F497D"/>
        </w:rPr>
        <w:t xml:space="preserve">new concept and has </w:t>
      </w:r>
      <w:r w:rsidR="000266A3">
        <w:rPr>
          <w:color w:val="1F497D"/>
        </w:rPr>
        <w:t xml:space="preserve">been promoted as a strategy to streamline the product innovation process </w:t>
      </w:r>
      <w:r w:rsidR="00465B3F">
        <w:rPr>
          <w:color w:val="1F497D"/>
        </w:rPr>
        <w:t>by reducing</w:t>
      </w:r>
      <w:r w:rsidR="00465B3F">
        <w:rPr>
          <w:color w:val="1F497D"/>
        </w:rPr>
        <w:t xml:space="preserve"> ambiguity </w:t>
      </w:r>
      <w:r w:rsidR="000266A3">
        <w:rPr>
          <w:color w:val="1F497D"/>
        </w:rPr>
        <w:t xml:space="preserve">since the early 2000s. However, in the context of translational research </w:t>
      </w:r>
      <w:proofErr w:type="spellStart"/>
      <w:r w:rsidR="000266A3">
        <w:rPr>
          <w:color w:val="1F497D"/>
        </w:rPr>
        <w:t>productisation</w:t>
      </w:r>
      <w:proofErr w:type="spellEnd"/>
      <w:r w:rsidR="000266A3">
        <w:rPr>
          <w:color w:val="1F497D"/>
        </w:rPr>
        <w:t xml:space="preserve"> might not be a concept which is overly familiar to most academics. </w:t>
      </w:r>
    </w:p>
    <w:p w:rsidR="000266A3" w:rsidRDefault="000266A3" w:rsidP="003F23FB">
      <w:pPr>
        <w:rPr>
          <w:color w:val="1F497D"/>
        </w:rPr>
      </w:pPr>
    </w:p>
    <w:p w:rsidR="003F23FB" w:rsidRDefault="000266A3" w:rsidP="003F23FB">
      <w:pPr>
        <w:rPr>
          <w:color w:val="1F497D"/>
        </w:rPr>
      </w:pPr>
      <w:r>
        <w:rPr>
          <w:color w:val="1F497D"/>
        </w:rPr>
        <w:t xml:space="preserve">This talk introduces </w:t>
      </w:r>
      <w:proofErr w:type="spellStart"/>
      <w:r>
        <w:rPr>
          <w:color w:val="1F497D"/>
        </w:rPr>
        <w:t>productisation</w:t>
      </w:r>
      <w:proofErr w:type="spellEnd"/>
      <w:r>
        <w:rPr>
          <w:color w:val="1F497D"/>
        </w:rPr>
        <w:t xml:space="preserve"> as an alternative strategy to the more traditional strategies which are mainly </w:t>
      </w:r>
      <w:r w:rsidR="0031197A">
        <w:rPr>
          <w:color w:val="1F497D"/>
        </w:rPr>
        <w:t>capability</w:t>
      </w:r>
      <w:r>
        <w:rPr>
          <w:color w:val="1F497D"/>
        </w:rPr>
        <w:t xml:space="preserve"> </w:t>
      </w:r>
      <w:r w:rsidR="0031197A">
        <w:rPr>
          <w:color w:val="1F497D"/>
        </w:rPr>
        <w:t xml:space="preserve">and </w:t>
      </w:r>
      <w:r w:rsidR="0031197A">
        <w:rPr>
          <w:color w:val="1F497D"/>
        </w:rPr>
        <w:t xml:space="preserve">facility </w:t>
      </w:r>
      <w:r>
        <w:rPr>
          <w:color w:val="1F497D"/>
        </w:rPr>
        <w:t xml:space="preserve">focused. </w:t>
      </w:r>
      <w:r w:rsidR="0031197A">
        <w:rPr>
          <w:color w:val="1F497D"/>
        </w:rPr>
        <w:t xml:space="preserve">The concept of </w:t>
      </w:r>
      <w:proofErr w:type="spellStart"/>
      <w:r w:rsidR="0031197A">
        <w:rPr>
          <w:color w:val="1F497D"/>
        </w:rPr>
        <w:t>productisation</w:t>
      </w:r>
      <w:proofErr w:type="spellEnd"/>
      <w:r w:rsidR="0031197A">
        <w:rPr>
          <w:color w:val="1F497D"/>
        </w:rPr>
        <w:t xml:space="preserve"> is first introduced and it is discuss</w:t>
      </w:r>
      <w:r w:rsidR="00465B3F">
        <w:rPr>
          <w:color w:val="1F497D"/>
        </w:rPr>
        <w:t>ed</w:t>
      </w:r>
      <w:r w:rsidR="0031197A">
        <w:rPr>
          <w:color w:val="1F497D"/>
        </w:rPr>
        <w:t xml:space="preserve"> how it can be applied to industry engagement and translational research. The presentation will use a number of recent project</w:t>
      </w:r>
      <w:r w:rsidR="00465B3F">
        <w:rPr>
          <w:color w:val="1F497D"/>
        </w:rPr>
        <w:t>s</w:t>
      </w:r>
      <w:r w:rsidR="0031197A">
        <w:rPr>
          <w:color w:val="1F497D"/>
        </w:rPr>
        <w:t xml:space="preserve"> of the UQ Composites group as an example to illustrate the usefulness, but also the dangers of such an approach</w:t>
      </w:r>
      <w:r w:rsidR="00465B3F">
        <w:rPr>
          <w:color w:val="1F497D"/>
        </w:rPr>
        <w:t xml:space="preserve"> to translational research</w:t>
      </w:r>
      <w:r w:rsidR="0031197A">
        <w:rPr>
          <w:color w:val="1F497D"/>
        </w:rPr>
        <w:t xml:space="preserve">. The presentation will conclude with </w:t>
      </w:r>
      <w:r w:rsidR="009850A5">
        <w:rPr>
          <w:color w:val="1F497D"/>
        </w:rPr>
        <w:t xml:space="preserve">a discussion of how </w:t>
      </w:r>
      <w:r w:rsidR="00465B3F">
        <w:rPr>
          <w:color w:val="1F497D"/>
        </w:rPr>
        <w:t xml:space="preserve">a </w:t>
      </w:r>
      <w:r w:rsidR="009850A5">
        <w:rPr>
          <w:color w:val="1F497D"/>
        </w:rPr>
        <w:t>productised approach can potentially be used to foster new engagement pathways</w:t>
      </w:r>
      <w:r w:rsidR="00882D0A">
        <w:rPr>
          <w:color w:val="1F497D"/>
        </w:rPr>
        <w:t>,</w:t>
      </w:r>
      <w:r w:rsidR="009850A5">
        <w:rPr>
          <w:color w:val="1F497D"/>
        </w:rPr>
        <w:t xml:space="preserve"> outside of the traditional industry/research partnership</w:t>
      </w:r>
      <w:r w:rsidR="00882D0A">
        <w:rPr>
          <w:color w:val="1F497D"/>
        </w:rPr>
        <w:t>s</w:t>
      </w:r>
      <w:r w:rsidR="009850A5">
        <w:rPr>
          <w:color w:val="1F497D"/>
        </w:rPr>
        <w:t xml:space="preserve">.  </w:t>
      </w:r>
      <w:r w:rsidR="0031197A">
        <w:rPr>
          <w:color w:val="1F497D"/>
        </w:rPr>
        <w:t xml:space="preserve"> </w:t>
      </w:r>
    </w:p>
    <w:p w:rsidR="003F23FB" w:rsidRDefault="003F23FB" w:rsidP="003F23FB">
      <w:pPr>
        <w:rPr>
          <w:color w:val="1F497D"/>
        </w:rPr>
      </w:pPr>
    </w:p>
    <w:p w:rsidR="003F23FB" w:rsidRDefault="003F23FB" w:rsidP="003F23FB">
      <w:pPr>
        <w:rPr>
          <w:color w:val="1F497D"/>
        </w:rPr>
      </w:pPr>
      <w:r>
        <w:rPr>
          <w:color w:val="1F497D"/>
        </w:rPr>
        <w:t xml:space="preserve">Profile: </w:t>
      </w:r>
    </w:p>
    <w:p w:rsidR="003F23FB" w:rsidRDefault="003F23FB" w:rsidP="003F23FB">
      <w:pPr>
        <w:rPr>
          <w:color w:val="1F497D"/>
        </w:rPr>
      </w:pPr>
    </w:p>
    <w:p w:rsidR="003F23FB" w:rsidRDefault="003F23FB" w:rsidP="003F23FB">
      <w:pPr>
        <w:spacing w:after="240"/>
        <w:rPr>
          <w:color w:val="1F497D"/>
        </w:rPr>
      </w:pPr>
      <w:r>
        <w:rPr>
          <w:color w:val="1F497D"/>
        </w:rPr>
        <w:t>Dr. Michael Heitzmann joined The University of Queensland in 2014, where he is leading the Composite Materials &amp; Processes Group. Despite the relatively short time in this position</w:t>
      </w:r>
      <w:r w:rsidR="00882D0A">
        <w:rPr>
          <w:color w:val="1F497D"/>
        </w:rPr>
        <w:t>,</w:t>
      </w:r>
      <w:r>
        <w:rPr>
          <w:color w:val="1F497D"/>
        </w:rPr>
        <w:t xml:space="preserve"> he has been awarded over </w:t>
      </w:r>
      <w:r>
        <w:rPr>
          <w:color w:val="1F497D"/>
        </w:rPr>
        <w:t>2</w:t>
      </w:r>
      <w:r>
        <w:rPr>
          <w:color w:val="1F497D"/>
        </w:rPr>
        <w:t>.</w:t>
      </w:r>
      <w:r>
        <w:rPr>
          <w:color w:val="1F497D"/>
        </w:rPr>
        <w:t>6</w:t>
      </w:r>
      <w:r>
        <w:rPr>
          <w:color w:val="1F497D"/>
        </w:rPr>
        <w:t>M AUD in research funding. Funding was obtained both from highly competitive schemes such as ARC Discovery and LIEF, as well as directly from industry and government organisation</w:t>
      </w:r>
      <w:r w:rsidR="00882D0A">
        <w:rPr>
          <w:color w:val="1F497D"/>
        </w:rPr>
        <w:t>s</w:t>
      </w:r>
      <w:r>
        <w:rPr>
          <w:color w:val="1F497D"/>
        </w:rPr>
        <w:t>.</w:t>
      </w:r>
    </w:p>
    <w:p w:rsidR="003F23FB" w:rsidRDefault="003F23FB" w:rsidP="003F23FB">
      <w:pPr>
        <w:spacing w:after="240"/>
        <w:rPr>
          <w:color w:val="1F497D"/>
        </w:rPr>
      </w:pPr>
      <w:r>
        <w:rPr>
          <w:color w:val="1F497D"/>
        </w:rPr>
        <w:t xml:space="preserve">Dr. Heitzmann played a key role in restructuring the UQ Composites Group and integrating the group across the three schools: Chemical, Mechanical and Civil Engineering. He has also taken a lead role in </w:t>
      </w:r>
      <w:r>
        <w:rPr>
          <w:color w:val="1F497D"/>
        </w:rPr>
        <w:lastRenderedPageBreak/>
        <w:t>promoting industry engagement through t</w:t>
      </w:r>
      <w:bookmarkStart w:id="0" w:name="_GoBack"/>
      <w:bookmarkEnd w:id="0"/>
      <w:r>
        <w:rPr>
          <w:color w:val="1F497D"/>
        </w:rPr>
        <w:t xml:space="preserve">he Centre for Advanced Manufacturing and Materials Processing (AMPAM). </w:t>
      </w:r>
    </w:p>
    <w:p w:rsidR="003F23FB" w:rsidRDefault="003F23FB" w:rsidP="003F23FB">
      <w:pPr>
        <w:rPr>
          <w:rFonts w:ascii="Courier New" w:hAnsi="Courier New" w:cs="Courier New"/>
          <w:color w:val="000000"/>
          <w:sz w:val="20"/>
          <w:szCs w:val="20"/>
          <w:lang w:val="en-US" w:eastAsia="en-AU"/>
        </w:rPr>
      </w:pPr>
      <w:r>
        <w:rPr>
          <w:color w:val="1F497D"/>
        </w:rPr>
        <w:t xml:space="preserve">Dr. </w:t>
      </w:r>
      <w:proofErr w:type="spellStart"/>
      <w:r>
        <w:rPr>
          <w:color w:val="1F497D"/>
        </w:rPr>
        <w:t>Heitzmann's</w:t>
      </w:r>
      <w:proofErr w:type="spellEnd"/>
      <w:r>
        <w:rPr>
          <w:color w:val="1F497D"/>
        </w:rPr>
        <w:t xml:space="preserve"> research group is focused around the three key areas: short cycle time composite manufacturing, hybrid composite structures &amp; interfaces and </w:t>
      </w:r>
      <w:proofErr w:type="spellStart"/>
      <w:r>
        <w:rPr>
          <w:color w:val="1F497D"/>
        </w:rPr>
        <w:t>biocomposite</w:t>
      </w:r>
      <w:proofErr w:type="spellEnd"/>
      <w:r>
        <w:rPr>
          <w:color w:val="1F497D"/>
        </w:rPr>
        <w:t xml:space="preserve"> materials. Dr. Heitzmann is very passionate about product innovation and industry engagement. His capacity for successful industry engagement is manifested through a large number of industry consultancies and projects, including projects with </w:t>
      </w:r>
      <w:proofErr w:type="spellStart"/>
      <w:r>
        <w:rPr>
          <w:color w:val="1F497D"/>
        </w:rPr>
        <w:t>Crimsafe</w:t>
      </w:r>
      <w:proofErr w:type="spellEnd"/>
      <w:r>
        <w:rPr>
          <w:color w:val="1F497D"/>
        </w:rPr>
        <w:t xml:space="preserve">, UBIQ, </w:t>
      </w:r>
      <w:r>
        <w:rPr>
          <w:color w:val="1F497D"/>
        </w:rPr>
        <w:t xml:space="preserve">ARUP, </w:t>
      </w:r>
      <w:r>
        <w:rPr>
          <w:color w:val="1F497D"/>
        </w:rPr>
        <w:t>Defence Science and Technology Gro</w:t>
      </w:r>
      <w:r>
        <w:rPr>
          <w:color w:val="1F497D"/>
        </w:rPr>
        <w:t>up (DSTG)</w:t>
      </w:r>
      <w:r>
        <w:rPr>
          <w:color w:val="1F497D"/>
        </w:rPr>
        <w:t>, Airbus Group, and the Department of Agriculture and Fisheries.</w:t>
      </w:r>
      <w:r>
        <w:rPr>
          <w:rFonts w:ascii="Courier New" w:hAnsi="Courier New" w:cs="Courier New"/>
          <w:color w:val="000000"/>
          <w:sz w:val="20"/>
          <w:szCs w:val="20"/>
          <w:lang w:eastAsia="en-AU"/>
        </w:rPr>
        <w:t xml:space="preserve"> </w:t>
      </w:r>
    </w:p>
    <w:p w:rsidR="003F23FB" w:rsidRDefault="003F23FB" w:rsidP="003F23FB">
      <w:pPr>
        <w:rPr>
          <w:rFonts w:ascii="Courier New" w:hAnsi="Courier New" w:cs="Courier New"/>
          <w:color w:val="000000"/>
          <w:sz w:val="20"/>
          <w:szCs w:val="20"/>
          <w:lang w:val="en-US" w:eastAsia="en-AU"/>
        </w:rPr>
      </w:pPr>
    </w:p>
    <w:p w:rsidR="00160FCC" w:rsidRDefault="00882D0A">
      <w:pPr>
        <w:rPr>
          <w:lang w:val="en-US"/>
        </w:rPr>
      </w:pPr>
    </w:p>
    <w:p w:rsidR="003F23FB" w:rsidRDefault="003F23FB">
      <w:pPr>
        <w:rPr>
          <w:lang w:val="en-US"/>
        </w:rPr>
      </w:pPr>
    </w:p>
    <w:p w:rsidR="003F23FB" w:rsidRDefault="003F23FB">
      <w:pPr>
        <w:rPr>
          <w:lang w:val="en-US"/>
        </w:rPr>
      </w:pPr>
    </w:p>
    <w:p w:rsidR="009850A5" w:rsidRDefault="009850A5">
      <w:pPr>
        <w:rPr>
          <w:lang w:val="en-US"/>
        </w:rPr>
      </w:pPr>
    </w:p>
    <w:p w:rsidR="009850A5" w:rsidRPr="003F23FB" w:rsidRDefault="009850A5">
      <w:pPr>
        <w:rPr>
          <w:lang w:val="en-US"/>
        </w:rPr>
      </w:pPr>
      <w:r>
        <w:rPr>
          <w:lang w:val="en-US"/>
        </w:rPr>
        <w:t xml:space="preserve">Comment: Middle paragraph of the profile can be left out if profile is too long </w:t>
      </w:r>
    </w:p>
    <w:sectPr w:rsidR="009850A5" w:rsidRPr="003F23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3FB"/>
    <w:rsid w:val="000266A3"/>
    <w:rsid w:val="0031197A"/>
    <w:rsid w:val="003F23FB"/>
    <w:rsid w:val="00460105"/>
    <w:rsid w:val="00465B3F"/>
    <w:rsid w:val="005B1571"/>
    <w:rsid w:val="00856248"/>
    <w:rsid w:val="00882D0A"/>
    <w:rsid w:val="009850A5"/>
    <w:rsid w:val="00BC754F"/>
    <w:rsid w:val="00DE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D8B731-7DD8-4A9D-8B70-B8FDB8D3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3F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Heitzmann</dc:creator>
  <cp:keywords/>
  <dc:description/>
  <cp:lastModifiedBy>Michael Heitzmann</cp:lastModifiedBy>
  <cp:revision>1</cp:revision>
  <dcterms:created xsi:type="dcterms:W3CDTF">2016-08-15T09:39:00Z</dcterms:created>
  <dcterms:modified xsi:type="dcterms:W3CDTF">2016-08-15T10:57:00Z</dcterms:modified>
</cp:coreProperties>
</file>